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035" w:rsidRDefault="00714AA1">
      <w:pPr>
        <w:pStyle w:val="Zhlav"/>
        <w:tabs>
          <w:tab w:val="clear" w:pos="4536"/>
          <w:tab w:val="clear" w:pos="9072"/>
        </w:tabs>
        <w:outlineLvl w:val="0"/>
      </w:pPr>
      <w:r>
        <w:rPr>
          <w:rFonts w:ascii="Arial" w:hAnsi="Arial" w:cs="Arial"/>
          <w:b/>
          <w:sz w:val="32"/>
          <w:szCs w:val="32"/>
        </w:rPr>
        <w:t>TECHNICKÝ LIST</w:t>
      </w:r>
    </w:p>
    <w:p w:rsidR="008D0035" w:rsidRDefault="008D0035">
      <w:pPr>
        <w:rPr>
          <w:rFonts w:ascii="Arial" w:hAnsi="Arial" w:cs="Arial"/>
          <w:sz w:val="18"/>
          <w:szCs w:val="18"/>
        </w:rPr>
      </w:pPr>
    </w:p>
    <w:p w:rsidR="008D0035" w:rsidRPr="00F36F68" w:rsidRDefault="00F36F68">
      <w:pPr>
        <w:rPr>
          <w:sz w:val="32"/>
          <w:szCs w:val="32"/>
        </w:rPr>
      </w:pPr>
      <w:r>
        <w:rPr>
          <w:rFonts w:ascii="Arial" w:eastAsia="Times New Roman" w:hAnsi="Arial" w:cs="Arial"/>
          <w:b/>
          <w:sz w:val="32"/>
          <w:szCs w:val="32"/>
        </w:rPr>
        <w:t>Izopro eko c</w:t>
      </w:r>
      <w:r w:rsidR="00714AA1" w:rsidRPr="00F36F68">
        <w:rPr>
          <w:rFonts w:ascii="Arial" w:eastAsia="Times New Roman" w:hAnsi="Arial" w:cs="Arial"/>
          <w:b/>
          <w:sz w:val="32"/>
          <w:szCs w:val="32"/>
        </w:rPr>
        <w:t>ementový potěr 20 MPa</w:t>
      </w:r>
    </w:p>
    <w:p w:rsidR="008D0035" w:rsidRDefault="00714AA1">
      <w:pPr>
        <w:jc w:val="both"/>
        <w:rPr>
          <w:rFonts w:ascii="Arial" w:hAnsi="Arial" w:cs="Arial"/>
          <w:b/>
          <w:sz w:val="28"/>
          <w:szCs w:val="28"/>
        </w:rPr>
      </w:pPr>
      <w:r>
        <w:rPr>
          <w:rFonts w:ascii="Arial" w:hAnsi="Arial" w:cs="Arial"/>
          <w:b/>
          <w:sz w:val="28"/>
          <w:szCs w:val="28"/>
        </w:rPr>
        <w:t>Potěr pro vnitřní stavební podlahové konstrukce</w:t>
      </w:r>
    </w:p>
    <w:tbl>
      <w:tblPr>
        <w:tblW w:w="9720" w:type="dxa"/>
        <w:tblInd w:w="108" w:type="dxa"/>
        <w:tblLayout w:type="fixed"/>
        <w:tblCellMar>
          <w:left w:w="10" w:type="dxa"/>
          <w:right w:w="10" w:type="dxa"/>
        </w:tblCellMar>
        <w:tblLook w:val="0000" w:firstRow="0" w:lastRow="0" w:firstColumn="0" w:lastColumn="0" w:noHBand="0" w:noVBand="0"/>
      </w:tblPr>
      <w:tblGrid>
        <w:gridCol w:w="7371"/>
        <w:gridCol w:w="2349"/>
      </w:tblGrid>
      <w:tr w:rsidR="008D0035">
        <w:trPr>
          <w:trHeight w:val="1897"/>
        </w:trPr>
        <w:tc>
          <w:tcPr>
            <w:tcW w:w="7371"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rsidR="008D0035" w:rsidRDefault="00714AA1">
            <w:pPr>
              <w:spacing w:before="120" w:after="60"/>
              <w:ind w:right="318"/>
              <w:jc w:val="both"/>
              <w:rPr>
                <w:rFonts w:ascii="Arial" w:eastAsia="Times New Roman" w:hAnsi="Arial" w:cs="Arial"/>
                <w:b/>
                <w:sz w:val="18"/>
              </w:rPr>
            </w:pPr>
            <w:r>
              <w:rPr>
                <w:rFonts w:ascii="Arial" w:eastAsia="Times New Roman" w:hAnsi="Arial" w:cs="Arial"/>
                <w:b/>
                <w:sz w:val="18"/>
              </w:rPr>
              <w:t>VLASTNOSTI A ZPŮSOBY POUŽITÍ:</w:t>
            </w:r>
          </w:p>
          <w:p w:rsidR="00F36F68" w:rsidRDefault="00F36F68">
            <w:pPr>
              <w:spacing w:before="120" w:after="60"/>
              <w:ind w:right="318"/>
              <w:jc w:val="both"/>
              <w:rPr>
                <w:rFonts w:ascii="Arial" w:eastAsia="Times New Roman" w:hAnsi="Arial" w:cs="Arial"/>
                <w:b/>
                <w:sz w:val="18"/>
              </w:rPr>
            </w:pPr>
            <w:bookmarkStart w:id="0" w:name="_GoBack"/>
            <w:bookmarkEnd w:id="0"/>
          </w:p>
          <w:p w:rsidR="008D0035" w:rsidRDefault="00714AA1" w:rsidP="001C701D">
            <w:pPr>
              <w:numPr>
                <w:ilvl w:val="0"/>
                <w:numId w:val="1"/>
              </w:numPr>
              <w:tabs>
                <w:tab w:val="left" w:pos="720"/>
              </w:tabs>
              <w:spacing w:after="120" w:line="240" w:lineRule="auto"/>
              <w:ind w:left="714" w:right="318" w:hanging="357"/>
              <w:jc w:val="both"/>
              <w:rPr>
                <w:rFonts w:ascii="Arial" w:eastAsia="Times New Roman" w:hAnsi="Arial" w:cs="Arial"/>
                <w:sz w:val="18"/>
              </w:rPr>
            </w:pPr>
            <w:r>
              <w:rPr>
                <w:rFonts w:ascii="Arial" w:eastAsia="Times New Roman" w:hAnsi="Arial" w:cs="Arial"/>
                <w:sz w:val="18"/>
              </w:rPr>
              <w:t>vytváření sdružených (připojených) a plovoucích potěrů určených k položení roznášivých podlahových krytů, např. dlažba, parkety, plovoucí podlahy; pod tenkovrstvé podlahoviny (PVC, marmoleum, koberce apod.) se doporučuje vyrovnání a vytvrzení povrchu vhodnou samonivelační stěrkou,</w:t>
            </w:r>
          </w:p>
          <w:p w:rsidR="008D0035" w:rsidRDefault="00714AA1" w:rsidP="001C701D">
            <w:pPr>
              <w:numPr>
                <w:ilvl w:val="0"/>
                <w:numId w:val="1"/>
              </w:numPr>
              <w:tabs>
                <w:tab w:val="left" w:pos="720"/>
              </w:tabs>
              <w:spacing w:after="120" w:line="240" w:lineRule="auto"/>
              <w:ind w:left="714" w:right="318" w:hanging="357"/>
              <w:jc w:val="both"/>
              <w:rPr>
                <w:rFonts w:ascii="Arial" w:eastAsia="Times New Roman" w:hAnsi="Arial" w:cs="Arial"/>
                <w:sz w:val="18"/>
              </w:rPr>
            </w:pPr>
            <w:r>
              <w:rPr>
                <w:rFonts w:ascii="Arial" w:eastAsia="Times New Roman" w:hAnsi="Arial" w:cs="Arial"/>
                <w:sz w:val="18"/>
              </w:rPr>
              <w:t>tloušťka vrstvy plovoucích potěrů se provádí podle statického výpočtu,</w:t>
            </w:r>
          </w:p>
          <w:p w:rsidR="008D0035" w:rsidRDefault="00714AA1" w:rsidP="001C701D">
            <w:pPr>
              <w:numPr>
                <w:ilvl w:val="0"/>
                <w:numId w:val="1"/>
              </w:numPr>
              <w:spacing w:after="120" w:line="240" w:lineRule="auto"/>
              <w:ind w:right="315"/>
              <w:jc w:val="both"/>
              <w:rPr>
                <w:rFonts w:ascii="Arial" w:eastAsia="Times New Roman" w:hAnsi="Arial" w:cs="Arial"/>
                <w:sz w:val="18"/>
              </w:rPr>
            </w:pPr>
            <w:r>
              <w:rPr>
                <w:rFonts w:ascii="Arial" w:eastAsia="Times New Roman" w:hAnsi="Arial" w:cs="Arial"/>
                <w:sz w:val="18"/>
              </w:rPr>
              <w:t>doporučená aplikační tloušťka: 10-50 mm,</w:t>
            </w:r>
          </w:p>
          <w:p w:rsidR="008D0035" w:rsidRDefault="008D0035" w:rsidP="00F36F68">
            <w:pPr>
              <w:spacing w:after="120" w:line="240" w:lineRule="auto"/>
              <w:ind w:left="720" w:right="318"/>
              <w:jc w:val="both"/>
            </w:pP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0035" w:rsidRPr="00BF3395" w:rsidRDefault="00BF3395">
            <w:pPr>
              <w:jc w:val="center"/>
              <w:rPr>
                <w:b/>
              </w:rPr>
            </w:pPr>
            <w:r w:rsidRPr="00BF3395">
              <w:rPr>
                <w:rFonts w:ascii="Arial" w:hAnsi="Arial" w:cs="Arial"/>
                <w:b/>
                <w:noProof/>
                <w:color w:val="FF0000"/>
                <w:sz w:val="18"/>
                <w:szCs w:val="18"/>
                <w:lang w:eastAsia="cs-CZ"/>
              </w:rPr>
              <w:t>Obrázek výrobku</w:t>
            </w:r>
          </w:p>
        </w:tc>
      </w:tr>
    </w:tbl>
    <w:p w:rsidR="008D0035" w:rsidRDefault="008D0035">
      <w:pPr>
        <w:ind w:right="315"/>
        <w:jc w:val="both"/>
        <w:rPr>
          <w:rFonts w:ascii="Arial" w:hAnsi="Arial" w:cs="Arial"/>
          <w:sz w:val="18"/>
          <w:szCs w:val="18"/>
        </w:rPr>
      </w:pPr>
    </w:p>
    <w:p w:rsidR="008D0035" w:rsidRDefault="00714AA1">
      <w:pPr>
        <w:jc w:val="both"/>
      </w:pPr>
      <w:r>
        <w:rPr>
          <w:rFonts w:ascii="Arial" w:hAnsi="Arial" w:cs="Arial"/>
          <w:b/>
          <w:sz w:val="18"/>
        </w:rPr>
        <w:t xml:space="preserve">SLOŽENÍ: </w:t>
      </w:r>
      <w:r>
        <w:rPr>
          <w:rFonts w:ascii="Arial" w:hAnsi="Arial" w:cs="Arial"/>
          <w:sz w:val="18"/>
        </w:rPr>
        <w:t>Minerální plnivo, cement a přísady zlepšující zpracovatelské a užitné vlastnosti výrobku.</w:t>
      </w:r>
    </w:p>
    <w:p w:rsidR="008D0035" w:rsidRDefault="00714AA1">
      <w:pPr>
        <w:jc w:val="both"/>
      </w:pPr>
      <w:r>
        <w:rPr>
          <w:rFonts w:ascii="Arial" w:hAnsi="Arial" w:cs="Arial"/>
          <w:b/>
          <w:sz w:val="18"/>
        </w:rPr>
        <w:t>TECHNICKÉ PARAMETRY:</w:t>
      </w:r>
    </w:p>
    <w:tbl>
      <w:tblPr>
        <w:tblW w:w="9720" w:type="dxa"/>
        <w:tblInd w:w="70" w:type="dxa"/>
        <w:tblLayout w:type="fixed"/>
        <w:tblCellMar>
          <w:left w:w="10" w:type="dxa"/>
          <w:right w:w="10" w:type="dxa"/>
        </w:tblCellMar>
        <w:tblLook w:val="0000" w:firstRow="0" w:lastRow="0" w:firstColumn="0" w:lastColumn="0" w:noHBand="0" w:noVBand="0"/>
      </w:tblPr>
      <w:tblGrid>
        <w:gridCol w:w="720"/>
        <w:gridCol w:w="2257"/>
        <w:gridCol w:w="1883"/>
        <w:gridCol w:w="3060"/>
        <w:gridCol w:w="1800"/>
      </w:tblGrid>
      <w:tr w:rsidR="008D0035">
        <w:trPr>
          <w:cantSplit/>
          <w:trHeight w:val="51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8D0035" w:rsidRDefault="00714AA1">
            <w:pPr>
              <w:spacing w:after="0" w:line="240" w:lineRule="auto"/>
              <w:jc w:val="center"/>
              <w:rPr>
                <w:rFonts w:ascii="Arial" w:hAnsi="Arial" w:cs="Arial"/>
                <w:sz w:val="18"/>
              </w:rPr>
            </w:pPr>
            <w:r>
              <w:rPr>
                <w:rFonts w:ascii="Arial" w:hAnsi="Arial" w:cs="Arial"/>
                <w:sz w:val="18"/>
              </w:rPr>
              <w:t>EN 13813 CT-C20-F4</w:t>
            </w:r>
          </w:p>
          <w:p w:rsidR="008D0035" w:rsidRDefault="00714AA1">
            <w:pPr>
              <w:spacing w:after="0" w:line="240" w:lineRule="auto"/>
              <w:jc w:val="center"/>
              <w:rPr>
                <w:rFonts w:ascii="Arial" w:hAnsi="Arial" w:cs="Arial"/>
                <w:sz w:val="18"/>
              </w:rPr>
            </w:pPr>
            <w:r>
              <w:rPr>
                <w:rFonts w:ascii="Arial" w:hAnsi="Arial" w:cs="Arial"/>
                <w:sz w:val="18"/>
              </w:rPr>
              <w:t>Cementový potěrový materiál (CT) podle EN 13813, určený k položení podlahového krytu</w:t>
            </w:r>
          </w:p>
        </w:tc>
      </w:tr>
      <w:tr w:rsidR="008D0035">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rPr>
                <w:rFonts w:ascii="Arial" w:hAnsi="Arial" w:cs="Arial"/>
                <w:sz w:val="18"/>
              </w:rPr>
            </w:pPr>
            <w:r>
              <w:rPr>
                <w:rFonts w:ascii="Arial" w:hAnsi="Arial" w:cs="Arial"/>
                <w:sz w:val="18"/>
              </w:rPr>
              <w:t>Pevnost v tlaku (třída C20)</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jc w:val="center"/>
              <w:rPr>
                <w:rFonts w:ascii="Arial" w:hAnsi="Arial" w:cs="Arial"/>
                <w:sz w:val="18"/>
              </w:rPr>
            </w:pPr>
            <w:r>
              <w:rPr>
                <w:rFonts w:ascii="Arial" w:hAnsi="Arial" w:cs="Arial"/>
                <w:sz w:val="18"/>
              </w:rPr>
              <w:t>min. 20,0 MPa</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rPr>
                <w:rFonts w:ascii="Arial" w:hAnsi="Arial" w:cs="Arial"/>
                <w:sz w:val="18"/>
              </w:rPr>
            </w:pPr>
            <w:r>
              <w:rPr>
                <w:rFonts w:ascii="Arial" w:hAnsi="Arial" w:cs="Arial"/>
                <w:sz w:val="18"/>
              </w:rPr>
              <w:t>Reakce na oheň</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jc w:val="center"/>
            </w:pPr>
            <w:r>
              <w:rPr>
                <w:rFonts w:ascii="Arial" w:hAnsi="Arial" w:cs="Arial"/>
                <w:sz w:val="18"/>
              </w:rPr>
              <w:t>tř. A1</w:t>
            </w:r>
            <w:r>
              <w:rPr>
                <w:rFonts w:ascii="Arial" w:hAnsi="Arial" w:cs="Arial"/>
                <w:sz w:val="18"/>
                <w:vertAlign w:val="subscript"/>
              </w:rPr>
              <w:t>fl</w:t>
            </w:r>
          </w:p>
        </w:tc>
      </w:tr>
      <w:tr w:rsidR="008D0035">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rPr>
                <w:rFonts w:ascii="Arial" w:hAnsi="Arial" w:cs="Arial"/>
                <w:sz w:val="18"/>
              </w:rPr>
            </w:pPr>
            <w:r>
              <w:rPr>
                <w:rFonts w:ascii="Arial" w:hAnsi="Arial" w:cs="Arial"/>
                <w:sz w:val="18"/>
              </w:rPr>
              <w:t>Pevnost v tahu za ohybu (třída F4)</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jc w:val="center"/>
              <w:rPr>
                <w:rFonts w:ascii="Arial" w:hAnsi="Arial" w:cs="Arial"/>
                <w:sz w:val="18"/>
              </w:rPr>
            </w:pPr>
            <w:r>
              <w:rPr>
                <w:rFonts w:ascii="Arial" w:hAnsi="Arial" w:cs="Arial"/>
                <w:sz w:val="18"/>
              </w:rPr>
              <w:t>min. 4,0 MPa</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rPr>
                <w:rFonts w:ascii="Arial" w:hAnsi="Arial" w:cs="Arial"/>
                <w:sz w:val="18"/>
              </w:rPr>
            </w:pPr>
            <w:r>
              <w:rPr>
                <w:rFonts w:ascii="Arial" w:hAnsi="Arial" w:cs="Arial"/>
                <w:sz w:val="18"/>
              </w:rPr>
              <w:t>Objemová hmotnost zatvrdlé malty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jc w:val="center"/>
            </w:pPr>
            <w:r>
              <w:rPr>
                <w:rFonts w:ascii="Arial" w:hAnsi="Arial" w:cs="Arial"/>
                <w:sz w:val="18"/>
              </w:rPr>
              <w:t>2050-2250 kg/m</w:t>
            </w:r>
            <w:r>
              <w:rPr>
                <w:rFonts w:ascii="Arial" w:hAnsi="Arial" w:cs="Arial"/>
                <w:sz w:val="18"/>
                <w:vertAlign w:val="superscript"/>
              </w:rPr>
              <w:t>3</w:t>
            </w:r>
          </w:p>
        </w:tc>
      </w:tr>
      <w:tr w:rsidR="008D0035">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rPr>
                <w:rFonts w:ascii="Arial" w:hAnsi="Arial" w:cs="Arial"/>
                <w:sz w:val="18"/>
              </w:rPr>
            </w:pPr>
            <w:r>
              <w:rPr>
                <w:rFonts w:ascii="Arial" w:hAnsi="Arial" w:cs="Arial"/>
                <w:sz w:val="18"/>
              </w:rPr>
              <w:t>Uvolňování nebezpečných látek</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jc w:val="center"/>
            </w:pPr>
            <w:r>
              <w:rPr>
                <w:rFonts w:ascii="Arial" w:hAnsi="Arial" w:cs="Arial"/>
                <w:sz w:val="18"/>
              </w:rPr>
              <w:t>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pPr>
            <w:r>
              <w:rPr>
                <w:rFonts w:ascii="Arial" w:hAnsi="Arial" w:cs="Arial"/>
                <w:color w:val="000000"/>
                <w:sz w:val="18"/>
              </w:rPr>
              <w:t xml:space="preserve">Součinitel tepelné vodivosti </w:t>
            </w:r>
            <w:r>
              <w:rPr>
                <w:rFonts w:ascii="Symbol" w:eastAsia="Symbol" w:hAnsi="Symbol" w:cs="Symbol"/>
                <w:b/>
                <w:sz w:val="18"/>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jc w:val="center"/>
            </w:pPr>
            <w:r>
              <w:rPr>
                <w:rFonts w:ascii="Arial" w:hAnsi="Arial" w:cs="Arial"/>
                <w:color w:val="000000"/>
                <w:sz w:val="18"/>
              </w:rPr>
              <w:t>min. 1,3</w:t>
            </w:r>
            <w:r>
              <w:rPr>
                <w:rFonts w:ascii="Arial" w:hAnsi="Arial" w:cs="Arial"/>
                <w:color w:val="FF0000"/>
                <w:sz w:val="18"/>
              </w:rPr>
              <w:t xml:space="preserve"> </w:t>
            </w:r>
            <w:r>
              <w:rPr>
                <w:rFonts w:ascii="Arial" w:hAnsi="Arial" w:cs="Arial"/>
                <w:color w:val="000000"/>
                <w:sz w:val="18"/>
              </w:rPr>
              <w:t>W/m.K *)</w:t>
            </w:r>
          </w:p>
        </w:tc>
      </w:tr>
      <w:tr w:rsidR="008D0035">
        <w:tc>
          <w:tcPr>
            <w:tcW w:w="720" w:type="dxa"/>
            <w:tcBorders>
              <w:top w:val="single" w:sz="4" w:space="0" w:color="000000"/>
              <w:left w:val="single" w:sz="4" w:space="0" w:color="000000"/>
              <w:bottom w:val="single" w:sz="4" w:space="0" w:color="000000"/>
              <w:right w:val="dotted" w:sz="4" w:space="0" w:color="000000"/>
            </w:tcBorders>
            <w:shd w:val="clear" w:color="auto" w:fill="auto"/>
            <w:tcMar>
              <w:top w:w="0" w:type="dxa"/>
              <w:left w:w="70" w:type="dxa"/>
              <w:bottom w:w="0" w:type="dxa"/>
              <w:right w:w="70" w:type="dxa"/>
            </w:tcMar>
            <w:vAlign w:val="center"/>
          </w:tcPr>
          <w:p w:rsidR="008D0035" w:rsidRDefault="00714AA1">
            <w:pPr>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000" w:type="dxa"/>
            <w:gridSpan w:val="4"/>
            <w:tcBorders>
              <w:top w:val="single" w:sz="4" w:space="0" w:color="000000"/>
              <w:left w:val="dott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rPr>
                <w:rFonts w:ascii="Arial" w:hAnsi="Arial" w:cs="Arial"/>
                <w:sz w:val="16"/>
              </w:rPr>
            </w:pPr>
            <w:r>
              <w:rPr>
                <w:rFonts w:ascii="Arial" w:hAnsi="Arial" w:cs="Arial"/>
                <w:sz w:val="16"/>
              </w:rPr>
              <w:t>tabulková hodnota</w:t>
            </w:r>
          </w:p>
        </w:tc>
      </w:tr>
    </w:tbl>
    <w:p w:rsidR="008D0035" w:rsidRDefault="008D0035">
      <w:pPr>
        <w:jc w:val="both"/>
        <w:rPr>
          <w:rFonts w:ascii="Arial" w:hAnsi="Arial" w:cs="Arial"/>
          <w:sz w:val="16"/>
        </w:rPr>
      </w:pPr>
    </w:p>
    <w:tbl>
      <w:tblPr>
        <w:tblW w:w="9706" w:type="dxa"/>
        <w:tblInd w:w="70" w:type="dxa"/>
        <w:tblLayout w:type="fixed"/>
        <w:tblCellMar>
          <w:left w:w="10" w:type="dxa"/>
          <w:right w:w="10" w:type="dxa"/>
        </w:tblCellMar>
        <w:tblLook w:val="0000" w:firstRow="0" w:lastRow="0" w:firstColumn="0" w:lastColumn="0" w:noHBand="0" w:noVBand="0"/>
      </w:tblPr>
      <w:tblGrid>
        <w:gridCol w:w="5595"/>
        <w:gridCol w:w="2127"/>
        <w:gridCol w:w="1984"/>
      </w:tblGrid>
      <w:tr w:rsidR="008D0035">
        <w:trPr>
          <w:cantSplit/>
        </w:trPr>
        <w:tc>
          <w:tcPr>
            <w:tcW w:w="970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8D0035" w:rsidRDefault="00714AA1">
            <w:pPr>
              <w:spacing w:after="0" w:line="240" w:lineRule="auto"/>
              <w:jc w:val="center"/>
              <w:rPr>
                <w:rFonts w:ascii="Arial" w:hAnsi="Arial" w:cs="Arial"/>
                <w:sz w:val="18"/>
              </w:rPr>
            </w:pPr>
            <w:r>
              <w:rPr>
                <w:rFonts w:ascii="Arial" w:hAnsi="Arial" w:cs="Arial"/>
                <w:sz w:val="18"/>
              </w:rPr>
              <w:t>INFORMATIVNÍ</w:t>
            </w:r>
          </w:p>
        </w:tc>
      </w:tr>
      <w:tr w:rsidR="008D0035">
        <w:trPr>
          <w:cantSplit/>
        </w:trPr>
        <w:tc>
          <w:tcPr>
            <w:tcW w:w="7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rPr>
                <w:rFonts w:ascii="Arial" w:hAnsi="Arial" w:cs="Arial"/>
                <w:sz w:val="18"/>
              </w:rPr>
            </w:pPr>
            <w:r>
              <w:rPr>
                <w:rFonts w:ascii="Arial" w:hAnsi="Arial" w:cs="Arial"/>
                <w:sz w:val="18"/>
              </w:rPr>
              <w:t>Zrnitost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jc w:val="center"/>
              <w:rPr>
                <w:rFonts w:ascii="Arial" w:hAnsi="Arial" w:cs="Arial"/>
                <w:sz w:val="18"/>
              </w:rPr>
            </w:pPr>
            <w:r>
              <w:rPr>
                <w:rFonts w:ascii="Arial" w:hAnsi="Arial" w:cs="Arial"/>
                <w:sz w:val="18"/>
              </w:rPr>
              <w:t>0-4 mm</w:t>
            </w:r>
          </w:p>
        </w:tc>
      </w:tr>
      <w:tr w:rsidR="008D0035">
        <w:trPr>
          <w:cantSplit/>
          <w:trHeight w:val="210"/>
        </w:trPr>
        <w:tc>
          <w:tcPr>
            <w:tcW w:w="55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rPr>
                <w:rFonts w:ascii="Arial" w:hAnsi="Arial" w:cs="Arial"/>
                <w:sz w:val="18"/>
              </w:rPr>
            </w:pPr>
            <w:r>
              <w:rPr>
                <w:rFonts w:ascii="Arial" w:hAnsi="Arial" w:cs="Arial"/>
                <w:sz w:val="18"/>
              </w:rPr>
              <w:t>Množství záměsové vody: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rPr>
                <w:rFonts w:ascii="Arial" w:hAnsi="Arial" w:cs="Arial"/>
                <w:sz w:val="18"/>
              </w:rPr>
            </w:pPr>
            <w:r>
              <w:rPr>
                <w:rFonts w:ascii="Arial" w:hAnsi="Arial" w:cs="Arial"/>
                <w:sz w:val="18"/>
              </w:rPr>
              <w:t>na 1 kg suché směsi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jc w:val="center"/>
              <w:rPr>
                <w:rFonts w:ascii="Arial" w:hAnsi="Arial" w:cs="Arial"/>
                <w:sz w:val="18"/>
              </w:rPr>
            </w:pPr>
            <w:r>
              <w:rPr>
                <w:rFonts w:ascii="Arial" w:hAnsi="Arial" w:cs="Arial"/>
                <w:sz w:val="18"/>
              </w:rPr>
              <w:t>0,10-0,12 l/kg</w:t>
            </w:r>
          </w:p>
        </w:tc>
      </w:tr>
      <w:tr w:rsidR="004160AC" w:rsidTr="00772620">
        <w:trPr>
          <w:cantSplit/>
          <w:trHeight w:val="198"/>
        </w:trPr>
        <w:tc>
          <w:tcPr>
            <w:tcW w:w="55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160AC" w:rsidRDefault="004160AC">
            <w:pPr>
              <w:spacing w:after="0" w:line="240" w:lineRule="auto"/>
              <w:rPr>
                <w:rFonts w:ascii="Arial" w:hAnsi="Arial" w:cs="Arial"/>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160AC" w:rsidRDefault="004160AC">
            <w:pPr>
              <w:spacing w:after="0" w:line="240" w:lineRule="auto"/>
              <w:rPr>
                <w:rFonts w:ascii="Arial" w:hAnsi="Arial" w:cs="Arial"/>
                <w:sz w:val="18"/>
              </w:rPr>
            </w:pPr>
            <w:r>
              <w:rPr>
                <w:rFonts w:ascii="Arial" w:hAnsi="Arial" w:cs="Arial"/>
                <w:sz w:val="18"/>
              </w:rPr>
              <w:t>na 1 pytel (20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160AC" w:rsidRDefault="004160AC">
            <w:pPr>
              <w:spacing w:after="0" w:line="240" w:lineRule="auto"/>
              <w:jc w:val="center"/>
              <w:rPr>
                <w:rFonts w:ascii="Arial" w:hAnsi="Arial" w:cs="Arial"/>
                <w:sz w:val="18"/>
              </w:rPr>
            </w:pPr>
            <w:r>
              <w:rPr>
                <w:rFonts w:ascii="Arial" w:hAnsi="Arial" w:cs="Arial"/>
                <w:sz w:val="18"/>
              </w:rPr>
              <w:t>2,0-2,4 l</w:t>
            </w:r>
          </w:p>
        </w:tc>
      </w:tr>
      <w:tr w:rsidR="008D0035">
        <w:trPr>
          <w:cantSplit/>
        </w:trPr>
        <w:tc>
          <w:tcPr>
            <w:tcW w:w="7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rPr>
                <w:rFonts w:ascii="Arial" w:hAnsi="Arial" w:cs="Arial"/>
                <w:sz w:val="18"/>
              </w:rPr>
            </w:pPr>
            <w:r>
              <w:rPr>
                <w:rFonts w:ascii="Arial" w:hAnsi="Arial" w:cs="Arial"/>
                <w:sz w:val="18"/>
              </w:rPr>
              <w:t>Vydatnost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jc w:val="center"/>
            </w:pPr>
            <w:r>
              <w:rPr>
                <w:rFonts w:ascii="Arial" w:hAnsi="Arial" w:cs="Arial"/>
                <w:sz w:val="18"/>
              </w:rPr>
              <w:t>cca 2000 kg/m</w:t>
            </w:r>
            <w:r>
              <w:rPr>
                <w:rFonts w:ascii="Arial" w:hAnsi="Arial" w:cs="Arial"/>
                <w:sz w:val="18"/>
                <w:vertAlign w:val="superscript"/>
              </w:rPr>
              <w:t>3</w:t>
            </w:r>
          </w:p>
        </w:tc>
      </w:tr>
      <w:tr w:rsidR="008D0035">
        <w:tc>
          <w:tcPr>
            <w:tcW w:w="7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rPr>
                <w:rFonts w:ascii="Arial" w:hAnsi="Arial" w:cs="Arial"/>
                <w:sz w:val="18"/>
              </w:rPr>
            </w:pPr>
            <w:r>
              <w:rPr>
                <w:rFonts w:ascii="Arial" w:hAnsi="Arial" w:cs="Arial"/>
                <w:sz w:val="18"/>
              </w:rPr>
              <w:t>Jednotková spotřeba – při vrstvě 10 mm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jc w:val="center"/>
            </w:pPr>
            <w:r>
              <w:rPr>
                <w:rFonts w:ascii="Arial" w:hAnsi="Arial" w:cs="Arial"/>
                <w:sz w:val="18"/>
              </w:rPr>
              <w:t>cca 20 kg/m</w:t>
            </w:r>
            <w:r>
              <w:rPr>
                <w:rFonts w:ascii="Arial" w:hAnsi="Arial" w:cs="Arial"/>
                <w:sz w:val="18"/>
                <w:vertAlign w:val="superscript"/>
              </w:rPr>
              <w:t>2</w:t>
            </w:r>
          </w:p>
        </w:tc>
      </w:tr>
      <w:tr w:rsidR="008D0035">
        <w:trPr>
          <w:cantSplit/>
        </w:trPr>
        <w:tc>
          <w:tcPr>
            <w:tcW w:w="7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rPr>
                <w:rFonts w:ascii="Arial" w:hAnsi="Arial" w:cs="Arial"/>
                <w:sz w:val="18"/>
              </w:rPr>
            </w:pPr>
            <w:r>
              <w:rPr>
                <w:rFonts w:ascii="Arial" w:hAnsi="Arial" w:cs="Arial"/>
                <w:sz w:val="18"/>
              </w:rPr>
              <w:t>Doporučená tloušťka vrstvy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jc w:val="center"/>
              <w:rPr>
                <w:rFonts w:ascii="Arial" w:hAnsi="Arial" w:cs="Arial"/>
                <w:sz w:val="18"/>
              </w:rPr>
            </w:pPr>
            <w:r>
              <w:rPr>
                <w:rFonts w:ascii="Arial" w:hAnsi="Arial" w:cs="Arial"/>
                <w:sz w:val="18"/>
              </w:rPr>
              <w:t>10-50 mm</w:t>
            </w:r>
          </w:p>
        </w:tc>
      </w:tr>
      <w:tr w:rsidR="008D0035">
        <w:trPr>
          <w:cantSplit/>
        </w:trPr>
        <w:tc>
          <w:tcPr>
            <w:tcW w:w="7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rPr>
                <w:rFonts w:ascii="Arial" w:hAnsi="Arial" w:cs="Arial"/>
                <w:sz w:val="18"/>
              </w:rPr>
            </w:pPr>
            <w:r>
              <w:rPr>
                <w:rFonts w:ascii="Arial" w:hAnsi="Arial" w:cs="Arial"/>
                <w:sz w:val="18"/>
              </w:rPr>
              <w:t>Spotřeba při doporučené vrstvě</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jc w:val="center"/>
            </w:pPr>
            <w:r>
              <w:rPr>
                <w:rFonts w:ascii="Arial" w:hAnsi="Arial" w:cs="Arial"/>
                <w:sz w:val="18"/>
              </w:rPr>
              <w:t>20-100 kg/m</w:t>
            </w:r>
            <w:r>
              <w:rPr>
                <w:rFonts w:ascii="Arial" w:hAnsi="Arial" w:cs="Arial"/>
                <w:sz w:val="18"/>
                <w:vertAlign w:val="superscript"/>
              </w:rPr>
              <w:t>2</w:t>
            </w:r>
          </w:p>
        </w:tc>
      </w:tr>
      <w:tr w:rsidR="004160AC" w:rsidTr="00307A18">
        <w:trPr>
          <w:cantSplit/>
          <w:trHeight w:val="114"/>
        </w:trPr>
        <w:tc>
          <w:tcPr>
            <w:tcW w:w="55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160AC" w:rsidRDefault="004160AC">
            <w:pPr>
              <w:spacing w:after="0" w:line="240" w:lineRule="auto"/>
              <w:rPr>
                <w:rFonts w:ascii="Arial" w:hAnsi="Arial" w:cs="Arial"/>
                <w:color w:val="000000"/>
                <w:sz w:val="18"/>
              </w:rPr>
            </w:pPr>
            <w:r>
              <w:rPr>
                <w:rFonts w:ascii="Arial" w:hAnsi="Arial" w:cs="Arial"/>
                <w:color w:val="000000"/>
                <w:sz w:val="18"/>
              </w:rPr>
              <w:t xml:space="preserve">Vydatnost – plocha potěru </w:t>
            </w:r>
          </w:p>
          <w:p w:rsidR="004160AC" w:rsidRDefault="004160AC">
            <w:pPr>
              <w:spacing w:after="0" w:line="240" w:lineRule="auto"/>
            </w:pPr>
            <w:r>
              <w:rPr>
                <w:rFonts w:ascii="Arial" w:hAnsi="Arial" w:cs="Arial"/>
                <w:sz w:val="18"/>
              </w:rPr>
              <w:t>při doporučené vrstvě:</w:t>
            </w:r>
            <w:r>
              <w:rPr>
                <w:rFonts w:ascii="Arial" w:hAnsi="Arial" w:cs="Arial"/>
                <w:color w:val="000000"/>
                <w:sz w:val="18"/>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160AC" w:rsidRDefault="004160AC">
            <w:pPr>
              <w:spacing w:after="0" w:line="240" w:lineRule="auto"/>
              <w:rPr>
                <w:rFonts w:ascii="Arial" w:hAnsi="Arial" w:cs="Arial"/>
                <w:sz w:val="18"/>
              </w:rPr>
            </w:pPr>
            <w:r>
              <w:rPr>
                <w:rFonts w:ascii="Arial" w:hAnsi="Arial" w:cs="Arial"/>
                <w:color w:val="000000"/>
                <w:sz w:val="18"/>
              </w:rPr>
              <w:t>z jednoho pytle (20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160AC" w:rsidRDefault="004160AC">
            <w:pPr>
              <w:spacing w:after="0" w:line="240" w:lineRule="auto"/>
              <w:jc w:val="center"/>
            </w:pPr>
            <w:r>
              <w:rPr>
                <w:rFonts w:ascii="Arial" w:hAnsi="Arial" w:cs="Arial"/>
                <w:sz w:val="18"/>
              </w:rPr>
              <w:t>0,2-1,0 m</w:t>
            </w:r>
            <w:r>
              <w:rPr>
                <w:rFonts w:ascii="Arial" w:hAnsi="Arial" w:cs="Arial"/>
                <w:sz w:val="18"/>
                <w:vertAlign w:val="superscript"/>
              </w:rPr>
              <w:t>2</w:t>
            </w:r>
          </w:p>
        </w:tc>
      </w:tr>
      <w:tr w:rsidR="008D0035">
        <w:trPr>
          <w:cantSplit/>
          <w:trHeight w:val="210"/>
        </w:trPr>
        <w:tc>
          <w:tcPr>
            <w:tcW w:w="55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8D0035">
            <w:pPr>
              <w:spacing w:after="0" w:line="240" w:lineRule="auto"/>
              <w:rPr>
                <w:rFonts w:ascii="Arial" w:hAnsi="Arial" w:cs="Arial"/>
                <w:color w:val="000000"/>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rPr>
                <w:rFonts w:ascii="Arial" w:hAnsi="Arial" w:cs="Arial"/>
                <w:color w:val="000000"/>
                <w:sz w:val="18"/>
              </w:rPr>
            </w:pPr>
            <w:r>
              <w:rPr>
                <w:rFonts w:ascii="Arial" w:hAnsi="Arial" w:cs="Arial"/>
                <w:color w:val="000000"/>
                <w:sz w:val="18"/>
              </w:rPr>
              <w:t>z jedné tuny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D0035" w:rsidRDefault="00714AA1">
            <w:pPr>
              <w:spacing w:after="0" w:line="240" w:lineRule="auto"/>
              <w:jc w:val="center"/>
            </w:pPr>
            <w:r>
              <w:rPr>
                <w:rFonts w:ascii="Arial" w:hAnsi="Arial" w:cs="Arial"/>
                <w:sz w:val="18"/>
              </w:rPr>
              <w:t>10-50 m</w:t>
            </w:r>
            <w:r>
              <w:rPr>
                <w:rFonts w:ascii="Arial" w:hAnsi="Arial" w:cs="Arial"/>
                <w:sz w:val="18"/>
                <w:vertAlign w:val="superscript"/>
              </w:rPr>
              <w:t>2</w:t>
            </w:r>
          </w:p>
        </w:tc>
      </w:tr>
    </w:tbl>
    <w:p w:rsidR="008D0035" w:rsidRDefault="00714AA1">
      <w:pPr>
        <w:ind w:firstLine="142"/>
        <w:jc w:val="both"/>
      </w:pPr>
      <w:r>
        <w:rPr>
          <w:rFonts w:ascii="Arial" w:hAnsi="Arial" w:cs="Arial"/>
          <w:sz w:val="16"/>
        </w:rPr>
        <w:t xml:space="preserve">POZN.: Technické parametry jsou stanoveny při normálních podmínkách (20 </w:t>
      </w:r>
      <w:r>
        <w:rPr>
          <w:rFonts w:ascii="Symbol" w:eastAsia="Symbol" w:hAnsi="Symbol" w:cs="Symbol"/>
          <w:sz w:val="16"/>
        </w:rPr>
        <w:t></w:t>
      </w:r>
      <w:r>
        <w:rPr>
          <w:rFonts w:ascii="Arial" w:hAnsi="Arial" w:cs="Arial"/>
          <w:sz w:val="16"/>
        </w:rPr>
        <w:t xml:space="preserve"> 2) °C a (65 </w:t>
      </w:r>
      <w:r>
        <w:rPr>
          <w:rFonts w:ascii="Symbol" w:eastAsia="Symbol" w:hAnsi="Symbol" w:cs="Symbol"/>
          <w:sz w:val="16"/>
        </w:rPr>
        <w:t></w:t>
      </w:r>
      <w:r>
        <w:rPr>
          <w:rFonts w:ascii="Arial" w:hAnsi="Arial" w:cs="Arial"/>
          <w:sz w:val="16"/>
        </w:rPr>
        <w:t xml:space="preserve"> 5) % relativní vlhkosti vzduchu.</w:t>
      </w:r>
    </w:p>
    <w:p w:rsidR="008D0035" w:rsidRDefault="00714AA1">
      <w:pPr>
        <w:spacing w:after="120"/>
        <w:jc w:val="both"/>
      </w:pPr>
      <w:r>
        <w:rPr>
          <w:rFonts w:ascii="Arial" w:hAnsi="Arial" w:cs="Arial"/>
          <w:b/>
          <w:sz w:val="18"/>
        </w:rPr>
        <w:t xml:space="preserve">PŘÍPRAVA PODKLADU: </w:t>
      </w:r>
      <w:r>
        <w:rPr>
          <w:rFonts w:ascii="Arial" w:hAnsi="Arial" w:cs="Arial"/>
          <w:sz w:val="18"/>
        </w:rPr>
        <w:t>Podklad musí být nosný, zbavený prachu, mastnot a uvolněných částí a nesmí být zmrzlý. Před nanesením potěru na starý beton je podklad nutno ošetřit vhodnou podlahovou penetrací. Plovoucí potěry se pokládají na vhodnou oddělovací vrstvu. Pro zamezení vzniku trhlin se umístí dilatační spáry v závislosti na velikosti a tvaru plochy. Je nutno respektovat pracovní nebo konstrukční spáry a provést obvodové dilatace vertikálních stavebních prvků (stěny, pilíře, potrubí apod.).</w:t>
      </w:r>
    </w:p>
    <w:p w:rsidR="008D0035" w:rsidRDefault="00714AA1">
      <w:pPr>
        <w:jc w:val="both"/>
      </w:pPr>
      <w:r>
        <w:rPr>
          <w:rFonts w:ascii="Arial" w:hAnsi="Arial" w:cs="Arial"/>
          <w:b/>
          <w:sz w:val="18"/>
        </w:rPr>
        <w:t xml:space="preserve">ZPRACOVÁNÍ: </w:t>
      </w:r>
      <w:r>
        <w:rPr>
          <w:rFonts w:ascii="Arial" w:hAnsi="Arial" w:cs="Arial"/>
          <w:sz w:val="18"/>
        </w:rPr>
        <w:t>Potěr dodávaný v pytlích se připravuje smícháním suché směsi s předepsaným množstvím vody v bubnové nebo kontinuální míchačce. Poměr vody a suché směsi se volí podle doporučení výrobce. Zamíchaná homogenní hmota se rozprostře na připravený podklad a zhutní údery hladítka. Následně se plocha srovná latí do roviny a zahladí plastovým případně ocelovým hladítkem. Výhodou je možnost stahování pomocí vibrační latě. Čerstvě zhotovené plochy je nutné chránit před přímými účinky tepelného záření (předčasným vyschnutím). Potěr udržovat 2-3 dny ve vlhkém stavu.</w:t>
      </w:r>
    </w:p>
    <w:p w:rsidR="008D0035" w:rsidRPr="004D5CC4" w:rsidRDefault="00714AA1">
      <w:pPr>
        <w:jc w:val="both"/>
        <w:rPr>
          <w:rFonts w:ascii="Arial" w:hAnsi="Arial" w:cs="Arial"/>
          <w:b/>
          <w:sz w:val="18"/>
          <w:szCs w:val="18"/>
        </w:rPr>
      </w:pPr>
      <w:r w:rsidRPr="004D5CC4">
        <w:rPr>
          <w:rFonts w:ascii="Arial" w:hAnsi="Arial" w:cs="Arial"/>
          <w:b/>
          <w:sz w:val="18"/>
          <w:szCs w:val="18"/>
        </w:rPr>
        <w:t>UPOZORNĚNÍ:</w:t>
      </w:r>
    </w:p>
    <w:p w:rsidR="008D0035" w:rsidRPr="004D5CC4" w:rsidRDefault="00714AA1">
      <w:pPr>
        <w:numPr>
          <w:ilvl w:val="0"/>
          <w:numId w:val="2"/>
        </w:numPr>
        <w:spacing w:after="0" w:line="240" w:lineRule="auto"/>
        <w:ind w:left="426" w:hanging="284"/>
        <w:jc w:val="both"/>
        <w:rPr>
          <w:rFonts w:ascii="Arial" w:hAnsi="Arial" w:cs="Arial"/>
          <w:sz w:val="18"/>
          <w:szCs w:val="18"/>
        </w:rPr>
      </w:pPr>
      <w:r w:rsidRPr="004D5CC4">
        <w:rPr>
          <w:rFonts w:ascii="Arial" w:hAnsi="Arial" w:cs="Arial"/>
          <w:sz w:val="18"/>
          <w:szCs w:val="18"/>
        </w:rPr>
        <w:t>Pro navrhování, provádění a ošetřování potěrů platí ČSN 74 4505 Podlahy – Společná ustanovení.</w:t>
      </w:r>
    </w:p>
    <w:p w:rsidR="008D0035" w:rsidRPr="004D5CC4" w:rsidRDefault="00714AA1">
      <w:pPr>
        <w:numPr>
          <w:ilvl w:val="0"/>
          <w:numId w:val="2"/>
        </w:numPr>
        <w:spacing w:after="0" w:line="240" w:lineRule="auto"/>
        <w:ind w:left="426" w:hanging="284"/>
        <w:jc w:val="both"/>
        <w:rPr>
          <w:rFonts w:ascii="Arial" w:hAnsi="Arial" w:cs="Arial"/>
          <w:sz w:val="18"/>
          <w:szCs w:val="18"/>
        </w:rPr>
      </w:pPr>
      <w:r w:rsidRPr="004D5CC4">
        <w:rPr>
          <w:rFonts w:ascii="Arial" w:hAnsi="Arial" w:cs="Arial"/>
          <w:sz w:val="18"/>
          <w:szCs w:val="18"/>
        </w:rPr>
        <w:t>K rozmíchání směsi je nutné použít pitnou vodu nebo vodu odpovídající EN 1008.</w:t>
      </w:r>
    </w:p>
    <w:p w:rsidR="008D0035" w:rsidRPr="004D5CC4" w:rsidRDefault="00714AA1">
      <w:pPr>
        <w:numPr>
          <w:ilvl w:val="0"/>
          <w:numId w:val="2"/>
        </w:numPr>
        <w:spacing w:after="0" w:line="240" w:lineRule="auto"/>
        <w:ind w:left="426" w:hanging="284"/>
        <w:jc w:val="both"/>
        <w:rPr>
          <w:rFonts w:ascii="Arial" w:hAnsi="Arial" w:cs="Arial"/>
          <w:sz w:val="18"/>
          <w:szCs w:val="18"/>
        </w:rPr>
      </w:pPr>
      <w:r w:rsidRPr="004D5CC4">
        <w:rPr>
          <w:rFonts w:ascii="Arial" w:hAnsi="Arial" w:cs="Arial"/>
          <w:sz w:val="18"/>
          <w:szCs w:val="18"/>
        </w:rPr>
        <w:t>Dodatečné přidávání pojiv, kameniva a jiných přísad nebo prosévání směsi je nepřípustné.</w:t>
      </w:r>
    </w:p>
    <w:p w:rsidR="008D0035" w:rsidRPr="004D5CC4" w:rsidRDefault="00714AA1">
      <w:pPr>
        <w:numPr>
          <w:ilvl w:val="0"/>
          <w:numId w:val="3"/>
        </w:numPr>
        <w:spacing w:after="0" w:line="240" w:lineRule="auto"/>
        <w:ind w:left="426" w:hanging="284"/>
        <w:jc w:val="both"/>
        <w:rPr>
          <w:rFonts w:ascii="Arial" w:hAnsi="Arial" w:cs="Arial"/>
          <w:sz w:val="18"/>
          <w:szCs w:val="18"/>
        </w:rPr>
      </w:pPr>
      <w:r w:rsidRPr="004D5CC4">
        <w:rPr>
          <w:rFonts w:ascii="Arial" w:hAnsi="Arial" w:cs="Arial"/>
          <w:sz w:val="18"/>
          <w:szCs w:val="18"/>
        </w:rPr>
        <w:t>Směs lze zpracovávat pouze za teploty vzduchu a podkladu nad +5 ºC! Při očekávaných mrazech nepoužívat!</w:t>
      </w:r>
    </w:p>
    <w:p w:rsidR="008D0035" w:rsidRPr="004D5CC4" w:rsidRDefault="00714AA1">
      <w:pPr>
        <w:numPr>
          <w:ilvl w:val="0"/>
          <w:numId w:val="2"/>
        </w:numPr>
        <w:spacing w:after="0" w:line="240" w:lineRule="auto"/>
        <w:ind w:left="426" w:hanging="284"/>
        <w:jc w:val="both"/>
        <w:rPr>
          <w:rFonts w:ascii="Arial" w:hAnsi="Arial" w:cs="Arial"/>
          <w:sz w:val="18"/>
          <w:szCs w:val="18"/>
        </w:rPr>
      </w:pPr>
      <w:r w:rsidRPr="004D5CC4">
        <w:rPr>
          <w:rFonts w:ascii="Arial" w:hAnsi="Arial" w:cs="Arial"/>
          <w:sz w:val="18"/>
          <w:szCs w:val="18"/>
        </w:rPr>
        <w:t>Nespotřebované zbytky smíchat s vodou a nechat vytvrdnout – lze likvidovat jako stavební odpad, kontaminované obaly likvidovat jako nebezpečný odpad (viz bezpečnostní list).</w:t>
      </w:r>
    </w:p>
    <w:p w:rsidR="008D0035" w:rsidRDefault="00714AA1">
      <w:pPr>
        <w:numPr>
          <w:ilvl w:val="0"/>
          <w:numId w:val="2"/>
        </w:numPr>
        <w:spacing w:after="0" w:line="240" w:lineRule="auto"/>
        <w:ind w:left="426" w:hanging="284"/>
        <w:jc w:val="both"/>
        <w:rPr>
          <w:rFonts w:ascii="Arial" w:hAnsi="Arial" w:cs="Arial"/>
          <w:sz w:val="18"/>
          <w:szCs w:val="18"/>
        </w:rPr>
      </w:pPr>
      <w:r w:rsidRPr="004D5CC4">
        <w:rPr>
          <w:rFonts w:ascii="Arial" w:hAnsi="Arial" w:cs="Arial"/>
          <w:sz w:val="18"/>
          <w:szCs w:val="18"/>
        </w:rPr>
        <w:t>Pouze zcela vyprázdněné a čisté obaly mohou být předány k využití recyklací.</w:t>
      </w:r>
    </w:p>
    <w:p w:rsidR="00BF3395" w:rsidRDefault="00BF3395" w:rsidP="00BF3395">
      <w:pPr>
        <w:spacing w:after="0" w:line="240" w:lineRule="auto"/>
        <w:ind w:left="142"/>
        <w:jc w:val="both"/>
        <w:rPr>
          <w:rFonts w:ascii="Arial" w:hAnsi="Arial" w:cs="Arial"/>
          <w:sz w:val="18"/>
          <w:szCs w:val="18"/>
        </w:rPr>
      </w:pPr>
    </w:p>
    <w:p w:rsidR="008D0035" w:rsidRPr="004D5CC4" w:rsidRDefault="00714AA1">
      <w:pPr>
        <w:jc w:val="both"/>
        <w:rPr>
          <w:sz w:val="18"/>
          <w:szCs w:val="18"/>
        </w:rPr>
      </w:pPr>
      <w:r w:rsidRPr="004D5CC4">
        <w:rPr>
          <w:rFonts w:ascii="Arial" w:hAnsi="Arial" w:cs="Arial"/>
          <w:b/>
          <w:sz w:val="18"/>
          <w:szCs w:val="18"/>
        </w:rPr>
        <w:t>PRVNÍ POMOC, BEZPEČNOST A HYGIENICKÉ PŘEDPISY:</w:t>
      </w:r>
      <w:r w:rsidRPr="004D5CC4">
        <w:rPr>
          <w:rFonts w:ascii="Arial" w:hAnsi="Arial" w:cs="Arial"/>
          <w:sz w:val="18"/>
          <w:szCs w:val="18"/>
        </w:rPr>
        <w:t xml:space="preserve"> Viz bezpečnostní list výrobku.</w:t>
      </w:r>
    </w:p>
    <w:p w:rsidR="008D0035" w:rsidRPr="004D5CC4" w:rsidRDefault="00714AA1">
      <w:pPr>
        <w:jc w:val="both"/>
        <w:rPr>
          <w:sz w:val="18"/>
          <w:szCs w:val="18"/>
        </w:rPr>
      </w:pPr>
      <w:r w:rsidRPr="004D5CC4">
        <w:rPr>
          <w:rFonts w:ascii="Arial" w:hAnsi="Arial" w:cs="Arial"/>
          <w:b/>
          <w:sz w:val="18"/>
          <w:szCs w:val="18"/>
        </w:rPr>
        <w:t xml:space="preserve">SKLADOVÁNÍ: </w:t>
      </w:r>
      <w:r w:rsidRPr="004D5CC4">
        <w:rPr>
          <w:rFonts w:ascii="Arial" w:hAnsi="Arial" w:cs="Arial"/>
          <w:sz w:val="18"/>
          <w:szCs w:val="18"/>
        </w:rPr>
        <w:t>Výrobek skladujte v suchu v originálních obalech – chraňte před poškozením, působením vody a vysoké relativní vlhkosti vzduchu. Při dodržení uvedených podmínek je skladovatelnost 12 měsíců od data vyznačeného na obalu výrobku.</w:t>
      </w:r>
    </w:p>
    <w:p w:rsidR="008D0035" w:rsidRPr="004D5CC4" w:rsidRDefault="00714AA1">
      <w:pPr>
        <w:jc w:val="both"/>
        <w:rPr>
          <w:sz w:val="18"/>
          <w:szCs w:val="18"/>
        </w:rPr>
      </w:pPr>
      <w:r w:rsidRPr="004D5CC4">
        <w:rPr>
          <w:rFonts w:ascii="Arial" w:hAnsi="Arial" w:cs="Arial"/>
          <w:b/>
          <w:sz w:val="18"/>
          <w:szCs w:val="18"/>
        </w:rPr>
        <w:t xml:space="preserve">EXPEDICE: </w:t>
      </w:r>
      <w:r w:rsidRPr="004D5CC4">
        <w:rPr>
          <w:rFonts w:ascii="Arial" w:hAnsi="Arial" w:cs="Arial"/>
          <w:sz w:val="18"/>
          <w:szCs w:val="18"/>
        </w:rPr>
        <w:t>Suchá směs se dodává v papírových pytlích po 20 kg na paletách krytých fólií.</w:t>
      </w:r>
    </w:p>
    <w:p w:rsidR="008D0035" w:rsidRPr="004D5CC4" w:rsidRDefault="00714AA1">
      <w:pPr>
        <w:jc w:val="both"/>
        <w:rPr>
          <w:sz w:val="18"/>
          <w:szCs w:val="18"/>
        </w:rPr>
      </w:pPr>
      <w:r w:rsidRPr="004D5CC4">
        <w:rPr>
          <w:rFonts w:ascii="Arial" w:hAnsi="Arial" w:cs="Arial"/>
          <w:b/>
          <w:sz w:val="18"/>
          <w:szCs w:val="18"/>
        </w:rPr>
        <w:t>KVALITA:</w:t>
      </w:r>
      <w:r w:rsidRPr="004D5CC4">
        <w:rPr>
          <w:rFonts w:ascii="Arial" w:hAnsi="Arial" w:cs="Arial"/>
          <w:sz w:val="18"/>
          <w:szCs w:val="18"/>
        </w:rPr>
        <w:t xml:space="preserve"> Kvalita produktů je trvale kontrolována v našich laboratořích. Ve výrobě je provozován </w:t>
      </w:r>
      <w:r w:rsidR="004D5CC4" w:rsidRPr="004D5CC4">
        <w:rPr>
          <w:rFonts w:ascii="Arial" w:hAnsi="Arial" w:cs="Arial"/>
          <w:sz w:val="18"/>
          <w:szCs w:val="18"/>
        </w:rPr>
        <w:t xml:space="preserve">certifikovaný </w:t>
      </w:r>
      <w:r w:rsidRPr="004D5CC4">
        <w:rPr>
          <w:rFonts w:ascii="Arial" w:hAnsi="Arial" w:cs="Arial"/>
          <w:sz w:val="18"/>
          <w:szCs w:val="18"/>
        </w:rPr>
        <w:t>systém řízení výroby a uplatňován certifikovaný systém managementu kvality podle ISO 9001 (průběžný dozor a případné prokazování shody je zajištěno TZÚS Praha, OS 1020).</w:t>
      </w:r>
    </w:p>
    <w:p w:rsidR="008D0035" w:rsidRPr="004D5CC4" w:rsidRDefault="00714AA1">
      <w:pPr>
        <w:jc w:val="both"/>
        <w:rPr>
          <w:sz w:val="18"/>
          <w:szCs w:val="18"/>
        </w:rPr>
      </w:pPr>
      <w:r w:rsidRPr="004D5CC4">
        <w:rPr>
          <w:rFonts w:ascii="Arial" w:hAnsi="Arial" w:cs="Arial"/>
          <w:b/>
          <w:caps/>
          <w:sz w:val="18"/>
          <w:szCs w:val="18"/>
        </w:rPr>
        <w:t>Výrobce</w:t>
      </w:r>
      <w:r w:rsidRPr="004D5CC4">
        <w:rPr>
          <w:rFonts w:ascii="Arial" w:hAnsi="Arial" w:cs="Arial"/>
          <w:b/>
          <w:sz w:val="18"/>
          <w:szCs w:val="18"/>
        </w:rPr>
        <w:t xml:space="preserve">: </w:t>
      </w:r>
      <w:r w:rsidRPr="004D5CC4">
        <w:rPr>
          <w:rFonts w:ascii="Arial" w:hAnsi="Arial" w:cs="Arial"/>
          <w:sz w:val="18"/>
          <w:szCs w:val="18"/>
        </w:rPr>
        <w:t>LB Cemix, s.r.o., Tovární 36, 373 12 Borovany</w:t>
      </w:r>
    </w:p>
    <w:p w:rsidR="008D0035" w:rsidRPr="004D5CC4" w:rsidRDefault="00714AA1">
      <w:pPr>
        <w:tabs>
          <w:tab w:val="left" w:pos="720"/>
          <w:tab w:val="left" w:pos="3420"/>
          <w:tab w:val="right" w:pos="10800"/>
        </w:tabs>
        <w:jc w:val="both"/>
        <w:outlineLvl w:val="0"/>
        <w:rPr>
          <w:sz w:val="18"/>
          <w:szCs w:val="18"/>
        </w:rPr>
      </w:pPr>
      <w:r w:rsidRPr="004D5CC4">
        <w:rPr>
          <w:rFonts w:ascii="Arial" w:hAnsi="Arial" w:cs="Arial"/>
          <w:b/>
          <w:sz w:val="18"/>
          <w:szCs w:val="18"/>
        </w:rPr>
        <w:t xml:space="preserve">PLATNOST: </w:t>
      </w:r>
      <w:r w:rsidRPr="004D5CC4">
        <w:rPr>
          <w:rFonts w:ascii="Arial" w:hAnsi="Arial" w:cs="Arial"/>
          <w:sz w:val="18"/>
          <w:szCs w:val="18"/>
        </w:rPr>
        <w:t>Od 1. 3. 2020</w:t>
      </w:r>
    </w:p>
    <w:p w:rsidR="008D0035" w:rsidRPr="004D5CC4" w:rsidRDefault="00714AA1">
      <w:pPr>
        <w:jc w:val="both"/>
        <w:rPr>
          <w:sz w:val="18"/>
          <w:szCs w:val="18"/>
        </w:rPr>
      </w:pPr>
      <w:r w:rsidRPr="004D5CC4">
        <w:rPr>
          <w:rFonts w:ascii="Arial" w:hAnsi="Arial" w:cs="Arial"/>
          <w:sz w:val="18"/>
          <w:szCs w:val="18"/>
        </w:rPr>
        <w:t>Jelikož použití a zpracování výrobku nepodléhá našemu přímému vlivu, neodpovídáme za škody způsobené jeho chybným použitím. Vyhrazujeme si právo provést změny, které jsou výsledkem technického pokroku. Tímto vydáním pozbývají platnosti všechna předešlá vydání.</w:t>
      </w:r>
    </w:p>
    <w:sectPr w:rsidR="008D0035" w:rsidRPr="004D5CC4" w:rsidSect="004D5CC4">
      <w:pgSz w:w="11906" w:h="16838"/>
      <w:pgMar w:top="993" w:right="991"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577" w:rsidRDefault="00071577">
      <w:pPr>
        <w:spacing w:after="0" w:line="240" w:lineRule="auto"/>
      </w:pPr>
      <w:r>
        <w:separator/>
      </w:r>
    </w:p>
  </w:endnote>
  <w:endnote w:type="continuationSeparator" w:id="0">
    <w:p w:rsidR="00071577" w:rsidRDefault="0007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577" w:rsidRDefault="00071577">
      <w:pPr>
        <w:spacing w:after="0" w:line="240" w:lineRule="auto"/>
      </w:pPr>
      <w:r>
        <w:rPr>
          <w:color w:val="000000"/>
        </w:rPr>
        <w:separator/>
      </w:r>
    </w:p>
  </w:footnote>
  <w:footnote w:type="continuationSeparator" w:id="0">
    <w:p w:rsidR="00071577" w:rsidRDefault="000715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57155"/>
    <w:multiLevelType w:val="multilevel"/>
    <w:tmpl w:val="59883D16"/>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68985415"/>
    <w:multiLevelType w:val="multilevel"/>
    <w:tmpl w:val="08341F1E"/>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7E6A0E15"/>
    <w:multiLevelType w:val="multilevel"/>
    <w:tmpl w:val="FC0AD5C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35"/>
    <w:rsid w:val="00071577"/>
    <w:rsid w:val="001C701D"/>
    <w:rsid w:val="002A08EF"/>
    <w:rsid w:val="00405D3E"/>
    <w:rsid w:val="004160AC"/>
    <w:rsid w:val="004D5CC4"/>
    <w:rsid w:val="00714AA1"/>
    <w:rsid w:val="007B1AE2"/>
    <w:rsid w:val="008D0035"/>
    <w:rsid w:val="00BF3395"/>
    <w:rsid w:val="00F36F68"/>
    <w:rsid w:val="00F91E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E317A-F3BB-4F2C-9F08-A698C760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spacing w:after="0" w:line="240" w:lineRule="auto"/>
    </w:pPr>
    <w:rPr>
      <w:rFonts w:ascii="Arial Narrow" w:hAnsi="Arial Narrow"/>
      <w:sz w:val="24"/>
    </w:rPr>
  </w:style>
  <w:style w:type="character" w:customStyle="1" w:styleId="ZhlavChar">
    <w:name w:val="Záhlaví Char"/>
    <w:basedOn w:val="Standardnpsmoodstavce"/>
    <w:rPr>
      <w:rFonts w:ascii="Arial Narrow" w:eastAsia="Calibri" w:hAnsi="Arial Narrow" w:cs="Times New Roman"/>
      <w:sz w:val="24"/>
    </w:rPr>
  </w:style>
  <w:style w:type="character" w:styleId="Hypertextovodkaz">
    <w:name w:val="Hyperlink"/>
    <w:basedOn w:val="Standardnpsmoodstavce"/>
    <w:rPr>
      <w:color w:val="0563C1"/>
      <w:u w:val="single"/>
    </w:rPr>
  </w:style>
  <w:style w:type="paragraph" w:styleId="Textbubliny">
    <w:name w:val="Balloon Text"/>
    <w:basedOn w:val="Normln"/>
    <w:pPr>
      <w:spacing w:after="0" w:line="240" w:lineRule="auto"/>
    </w:pPr>
    <w:rPr>
      <w:rFonts w:ascii="Segoe UI" w:hAnsi="Segoe UI" w:cs="Segoe UI"/>
      <w:sz w:val="18"/>
      <w:szCs w:val="18"/>
    </w:rPr>
  </w:style>
  <w:style w:type="character" w:customStyle="1" w:styleId="TextbublinyChar">
    <w:name w:val="Text bubliny Char"/>
    <w:basedOn w:val="Standardnpsmoodstav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CF08B5-4E16-4F79-8FC4-257D23054BFF}"/>
</file>

<file path=customXml/itemProps2.xml><?xml version="1.0" encoding="utf-8"?>
<ds:datastoreItem xmlns:ds="http://schemas.openxmlformats.org/officeDocument/2006/customXml" ds:itemID="{0CE17661-922B-40E3-A2FD-153FCBC55BE7}"/>
</file>

<file path=customXml/itemProps3.xml><?xml version="1.0" encoding="utf-8"?>
<ds:datastoreItem xmlns:ds="http://schemas.openxmlformats.org/officeDocument/2006/customXml" ds:itemID="{0E040B2F-1651-4935-9F19-2E168AC16B5B}"/>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3655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Bureš Martin</dc:creator>
  <dc:description/>
  <cp:lastModifiedBy>Pazderník Lukáš</cp:lastModifiedBy>
  <cp:revision>2</cp:revision>
  <dcterms:created xsi:type="dcterms:W3CDTF">2020-01-31T08:12:00Z</dcterms:created>
  <dcterms:modified xsi:type="dcterms:W3CDTF">2020-01-31T08:12:00Z</dcterms:modified>
</cp:coreProperties>
</file>